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01F" w:rsidRDefault="00C2601F" w:rsidP="00C2601F">
      <w:pPr>
        <w:spacing w:before="160" w:after="40" w:line="240" w:lineRule="auto"/>
        <w:jc w:val="center"/>
      </w:pPr>
      <w:r>
        <w:rPr>
          <w:rFonts w:ascii="Times New Roman" w:eastAsia="Times New Roman" w:hAnsi="Times New Roman" w:cs="Times New Roman"/>
          <w:b/>
          <w:sz w:val="28"/>
        </w:rPr>
        <w:t>THÔNG BÁO</w:t>
      </w:r>
      <w:bookmarkStart w:id="0" w:name="_GoBack"/>
      <w:bookmarkEnd w:id="0"/>
    </w:p>
    <w:p w:rsidR="00C2601F" w:rsidRDefault="00C2601F" w:rsidP="00C2601F">
      <w:pPr>
        <w:spacing w:after="40" w:line="240" w:lineRule="auto"/>
        <w:jc w:val="center"/>
      </w:pPr>
      <w:r>
        <w:rPr>
          <w:rFonts w:ascii="Times New Roman" w:eastAsia="Times New Roman" w:hAnsi="Times New Roman" w:cs="Times New Roman"/>
          <w:b/>
          <w:sz w:val="28"/>
        </w:rPr>
        <w:t>Một số chính sách mới, nổi bật có hiệu lực từ tháng 10/2026</w:t>
      </w:r>
    </w:p>
    <w:p w:rsidR="00C2601F" w:rsidRDefault="00C2601F" w:rsidP="00C2601F">
      <w:pPr>
        <w:pBdr>
          <w:bottom w:val="single" w:sz="2" w:space="1" w:color="000000"/>
        </w:pBdr>
        <w:spacing w:after="160" w:line="240" w:lineRule="auto"/>
        <w:ind w:left="3685" w:right="3685"/>
        <w:jc w:val="center"/>
        <w:rPr>
          <w:rFonts w:ascii="Times New Roman" w:eastAsia="Times New Roman" w:hAnsi="Times New Roman" w:cs="Times New Roman"/>
          <w:sz w:val="4"/>
          <w:szCs w:val="4"/>
        </w:rPr>
      </w:pP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 xml:space="preserve">(Kèm theo Công văn số: </w:t>
      </w:r>
      <w:r w:rsidR="001056BB">
        <w:rPr>
          <w:rFonts w:ascii="Times New Roman" w:eastAsia="Times New Roman" w:hAnsi="Times New Roman" w:cs="Times New Roman"/>
          <w:sz w:val="28"/>
        </w:rPr>
        <w:t>1582</w:t>
      </w:r>
      <w:r>
        <w:rPr>
          <w:rFonts w:ascii="Times New Roman" w:eastAsia="Times New Roman" w:hAnsi="Times New Roman" w:cs="Times New Roman"/>
          <w:sz w:val="28"/>
        </w:rPr>
        <w:t xml:space="preserve"> /PBGDPL ngày 30/9/2026 của Hội đồng phối hợp PBGDPL xã Hồng Lộc)</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Trong tháng 10/2026 có nhiều văn bản pháp luật quan trọng chính thức có hiệu lực. Sau đây là một số văn bản, chính sách nổi bật, quan trọng liên quan đến việc thực hiện nhiệm vụ chuyên môn của cán bộ, công chức, viên chức, người lao động và liên quan mật thiết đến đời sống của Nhân dân:</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b/>
          <w:sz w:val="28"/>
        </w:rPr>
        <w:t>1. Luật số 06/2026/QH16 sửa đổi, bổ sung một số điều của Luật Thi đua, khen thưởng có hiệu lực từ ngày 1.10.2026.</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Trong đó, tiêu chuẩn xét một số danh hiệu thi đua được điều chỉnh. Đáng chú ý, tiêu chuẩn danh hiệu “Chiến sĩ thi đua cơ sở” được bổ sung các trường hợp gắn với nhiệm vụ khoa học, công nghệ và đổi mới sáng tạo hoặc thành tích trong chiến đấu, phục vụ chiến đấu.</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Quy định này chủ yếu tác động đến cán bộ, công chức, viên chức và người lao động khu vực có chế độ thi đua, khen thưởng theo luật.</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b/>
          <w:sz w:val="28"/>
        </w:rPr>
        <w:t>2. Tăng mức trợ cấp, phụ cấp ưu đãi người có công: Nghị định 321/2026/NĐ-CP có hiệu lực từ ngày 1.10.2026, quy định mức hưởng trợ cấp, phụ cấp và các chế độ ưu đãi đối với người có công với cách mạng và thân nhân.</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Theo quy định mới, mức chuẩn trợ cấp ưu đãi người có công được nâng lên 3,012 triệu đồng/tháng, thay cho mức 2,789 triệu đồng trước đó.</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Ngoài ra, Nghị định cũng quy định các chế độ ưu đãi người có công với cách mạng gồm: Bảo hiểm y tế; điều dưỡng phục hồi sức khỏe; hỗ trợ phương tiện trợ giúp, dụng cụ chỉnh hình, phương tiện, thiết bị phục hồi chức năng cần thiết; hỗ trợ ưu đãi giáo dục tại các cơ sở giáo dục thuộc hệ thống giáo dục quốc dân đến trình độ đại học; hỗ trợ thăm viếng mộ liệt sỹ; hỗ trợ di chuyển hài cốt liệt sỹ; hỗ trợ công tác mộ liệt sỹ, công trình ghi công liệt sỹ; xác định danh tính hài cốt liệt sĩ và các chế độ khác.</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b/>
          <w:sz w:val="28"/>
        </w:rPr>
        <w:t>3. Thông tư 18/2026/TT-BNV có hiệu lực từ 1.10.2026, quy định việc xét tặng Kỷ niệm chương “Vì sự nghiệp ngành Nội vụ”.</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Đối tượng, tiêu chuẩn, hồ sơ và thời gian xét tặng được quy định cụ thể. Các Kỷ niệm chương “Vì sự nghiệp ngành Tổ chức nhà nước”, “Vì sự nghiệp Thi đua, khen thưởng”, “Vì sự nghiệp Văn thư, Lưu trữ” và “Vì sự nghiệp Lao động - Thương binh và Xã hội” đã được xét tặng trước ngày 1.10.2026 tiếp tục có giá trị tương đương.</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b/>
          <w:sz w:val="28"/>
        </w:rPr>
        <w:lastRenderedPageBreak/>
        <w:t>4. Quy định đăng ký, khóa, kích hoạt, thu hồi, quản lý tài khoản người sử dụng Cổng thông tin một cửa quốc gia:</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Nghị định số 336/2026/NĐ-CP ngày 22/8/2026 của Chính phủ, có hiệu lực thi hành ngày 15/10/2026: Quy định thực hiện thủ tục hành chính đối với hàng hóa xuất khẩu, nhập khẩu, quá cảnh; phương tiện vận tải xuất cảnh. Nghị định này quy định về việc thực hiện thủ tục hành chính đối với hàng hóa xuất khẩu, nhập khẩu, quá cảnh; phương tiện vận tải xuất cảnh, nhập cảnh, quá cảnh theo cơ chế một cửa quốc gia, cơ chế một cửa ASEAN; quản lý, vận hành, trao đổi, chia sẻ dữ liệu thông qua Cổng thông tin một cửa quốc gia. Trong đó, Nghị định quy định đăng ký, khóa, kích hoạt, thu hồi, quản lý tài khoản người sử dụng Cổng thông tin một cửa quốc gia và chữ ký số.</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Một trong những nội dung đáng chú ý tại Nghị định là cho phép được sử dụng tài khoản định danh điện tử VNeID để đăng nhập, truy cập Cổng thông tin một cửa quốc gia từ ngày 15/10/2026. Theo đó, tại khoản 1, điều 11, Nghị định quy định người sử dụng đăng ký tài khoản và chữ ký số trên Cổng thông tin một cửa quốc gia hoặc sử dụng tài khoản định danh điện tử được cấp qua ứng dụng định danh quốc gia VNeID để đăng ký, truy cập hệ thống.</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b/>
          <w:sz w:val="28"/>
        </w:rPr>
        <w:t>5. Quy định mới về tổ chức, quản lý và sử dụng Quỹ Học bổng Quốc gia</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Nghị định 317/2026/NĐ-CP có hiệu lực từ 01/10/2026, quy định về tổ chức, quản lý và sử dụng quỹ học bổng quốc gia.</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Quỹ hướng tới hỗ trợ người học trong học tập, nghiên cứu, đổi mới sáng tạo, khởi nghiệp; đồng thời góp phần phát hiện, khuyến khích, bồi dưỡng và phát triển nguồn nhân lực chất lượng cao.</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Đây là chính sách mà người lao động có con đang học tập, nghiên cứu có thể quan tâm.</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b/>
          <w:sz w:val="28"/>
        </w:rPr>
        <w:t>6. Thông tư 17/2026/TT-BNV của Bộ Nội vụ có hiệu lực từ ngày 01/10/2026, quy định đơn giá dịch vụ sự nghiệp công sử dụng Quỹ bảo hiểm thất nghiệp.</w:t>
      </w:r>
    </w:p>
    <w:p w:rsidR="00C2601F" w:rsidRDefault="00C2601F" w:rsidP="00C2601F">
      <w:pPr>
        <w:adjustRightInd w:val="0"/>
        <w:snapToGrid w:val="0"/>
        <w:spacing w:after="120" w:line="288" w:lineRule="auto"/>
        <w:ind w:firstLine="567"/>
        <w:jc w:val="both"/>
      </w:pPr>
      <w:r>
        <w:rPr>
          <w:rFonts w:ascii="Times New Roman" w:eastAsia="Times New Roman" w:hAnsi="Times New Roman" w:cs="Times New Roman"/>
          <w:sz w:val="28"/>
        </w:rPr>
        <w:t>Các dịch vụ được quy định đơn giá mới gồm tư vấn, giới thiệu việc làm; tiếp nhận và giải quyết hồ sơ hưởng trợ cấp thất nghiệp; thông báo tìm kiếm việc làm; tạm dừng, tiếp tục, chấm dứt hưởng trợ cấp thất nghiệp; chuyển nơi hưởng trợ cấp thất nghiệp và hỗ trợ người lao động đào tạo, nâng cao trình độ kỹ năng nghề.</w:t>
      </w:r>
    </w:p>
    <w:p w:rsidR="00C2601F" w:rsidRDefault="00C2601F" w:rsidP="00C2601F">
      <w:pPr>
        <w:adjustRightInd w:val="0"/>
        <w:snapToGrid w:val="0"/>
        <w:spacing w:after="120" w:line="288" w:lineRule="auto"/>
        <w:ind w:firstLine="567"/>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7. Nghị định số 328/2026/NĐ-CP, </w:t>
      </w:r>
      <w:r w:rsidR="001E61E9">
        <w:rPr>
          <w:rFonts w:ascii="Times New Roman" w:eastAsia="Times New Roman" w:hAnsi="Times New Roman" w:cs="Times New Roman"/>
          <w:b/>
          <w:sz w:val="28"/>
        </w:rPr>
        <w:t>có hiệu lực từ ngày 05/10/2026</w:t>
      </w:r>
      <w:r>
        <w:rPr>
          <w:rFonts w:ascii="Times New Roman" w:eastAsia="Times New Roman" w:hAnsi="Times New Roman" w:cs="Times New Roman"/>
          <w:b/>
          <w:sz w:val="28"/>
        </w:rPr>
        <w:t xml:space="preserve"> về quy định phòng, chống tin giả, tin sai sự thật.</w:t>
      </w:r>
    </w:p>
    <w:p w:rsidR="001E61E9" w:rsidRPr="001E61E9" w:rsidRDefault="001E61E9" w:rsidP="001E61E9">
      <w:pPr>
        <w:pStyle w:val="NormalWeb"/>
        <w:shd w:val="clear" w:color="auto" w:fill="FFFFFF"/>
        <w:spacing w:before="0" w:beforeAutospacing="0" w:after="0" w:afterAutospacing="0" w:line="360" w:lineRule="atLeast"/>
        <w:ind w:firstLine="567"/>
        <w:jc w:val="both"/>
        <w:rPr>
          <w:color w:val="000000"/>
          <w:sz w:val="28"/>
          <w:szCs w:val="28"/>
        </w:rPr>
      </w:pPr>
      <w:r w:rsidRPr="001E61E9">
        <w:rPr>
          <w:color w:val="000000"/>
          <w:sz w:val="28"/>
          <w:szCs w:val="28"/>
          <w:shd w:val="clear" w:color="auto" w:fill="FFFFFF"/>
        </w:rPr>
        <w:t xml:space="preserve">Điểm đáng chú ý là Nghị định không chỉ đặt ra yêu cầu xử lý khi tin giả đã xuất hiện, mà còn nhấn mạnh việc chủ động phòng ngừa, phát hiện và ngăn chặn. Việc phòng, chống tin giả, tin sai sự thật phải tuân thủ pháp luật, đồng thời tôn </w:t>
      </w:r>
      <w:r w:rsidRPr="001E61E9">
        <w:rPr>
          <w:color w:val="000000"/>
          <w:sz w:val="28"/>
          <w:szCs w:val="28"/>
          <w:shd w:val="clear" w:color="auto" w:fill="FFFFFF"/>
        </w:rPr>
        <w:lastRenderedPageBreak/>
        <w:t>trọng và bảo đảm quyền, lợi ích hợp pháp của cơ quan, tổ chức, cá nhân; bảo đảm công khai, minh bạch và lợi ích quốc gia, dân tộc, quốc phòng, an ninh, đối ngoại. </w:t>
      </w:r>
    </w:p>
    <w:p w:rsidR="001E61E9" w:rsidRPr="001E61E9" w:rsidRDefault="001E61E9" w:rsidP="001E61E9">
      <w:pPr>
        <w:pStyle w:val="NormalWeb"/>
        <w:shd w:val="clear" w:color="auto" w:fill="FFFFFF"/>
        <w:spacing w:before="0" w:beforeAutospacing="0" w:after="0" w:afterAutospacing="0" w:line="360" w:lineRule="atLeast"/>
        <w:ind w:firstLine="567"/>
        <w:jc w:val="both"/>
        <w:rPr>
          <w:rFonts w:ascii="Arial" w:hAnsi="Arial" w:cs="Arial"/>
          <w:color w:val="000000"/>
          <w:sz w:val="21"/>
          <w:szCs w:val="21"/>
        </w:rPr>
      </w:pPr>
      <w:r w:rsidRPr="001E61E9">
        <w:rPr>
          <w:color w:val="000000"/>
          <w:sz w:val="28"/>
          <w:szCs w:val="28"/>
          <w:shd w:val="clear" w:color="auto" w:fill="FFFFFF"/>
        </w:rPr>
        <w:t>Nghị định cũng yêu cầu có sự phối hợp đồng bộ, chặt chẽ giữa các bộ, ngành, địa phương với các tổ chức, doanh nghiệp cung cấp dịch vụ trên mạng, qua đó tạo cơ chế xử lý thống nhất trước những thông tin sai lệch có khả năng gây ảnh hưởng đến xã hội</w:t>
      </w:r>
      <w:r>
        <w:rPr>
          <w:rFonts w:ascii="Arial" w:hAnsi="Arial" w:cs="Arial"/>
          <w:color w:val="000000"/>
          <w:sz w:val="21"/>
          <w:szCs w:val="21"/>
          <w:shd w:val="clear" w:color="auto" w:fill="FFFFFF"/>
        </w:rPr>
        <w:t>.</w:t>
      </w:r>
    </w:p>
    <w:p w:rsidR="00C2601F" w:rsidRDefault="00C2601F" w:rsidP="00C2601F">
      <w:pPr>
        <w:adjustRightInd w:val="0"/>
        <w:snapToGrid w:val="0"/>
        <w:spacing w:after="120" w:line="288" w:lineRule="auto"/>
        <w:ind w:firstLine="567"/>
        <w:jc w:val="both"/>
        <w:rPr>
          <w:rFonts w:ascii="Times New Roman" w:eastAsia="Times New Roman" w:hAnsi="Times New Roman" w:cs="Times New Roman"/>
          <w:sz w:val="28"/>
        </w:rPr>
      </w:pPr>
      <w:r>
        <w:rPr>
          <w:rFonts w:ascii="Times New Roman" w:eastAsia="Times New Roman" w:hAnsi="Times New Roman" w:cs="Times New Roman"/>
          <w:sz w:val="28"/>
        </w:rPr>
        <w:t>Trên đây là một số chính sách pháp luật mới, nổi bật có hiệu lực trong tháng 10/2026, ngoài ra còn nhiều chính sách pháp luật mới có hiệu lực</w:t>
      </w:r>
      <w:r w:rsidR="001E61E9">
        <w:rPr>
          <w:rFonts w:ascii="Times New Roman" w:eastAsia="Times New Roman" w:hAnsi="Times New Roman" w:cs="Times New Roman"/>
          <w:sz w:val="28"/>
        </w:rPr>
        <w:t xml:space="preserve"> khác</w:t>
      </w:r>
      <w:r>
        <w:rPr>
          <w:rFonts w:ascii="Times New Roman" w:eastAsia="Times New Roman" w:hAnsi="Times New Roman" w:cs="Times New Roman"/>
          <w:sz w:val="28"/>
        </w:rPr>
        <w:t>. Đề nghị các cơ quan, đơn vị, cán bộ, công chức, viên chức, người lao động và Nhân dân chủ động nghiên cứu, thực hiện./.</w:t>
      </w:r>
    </w:p>
    <w:p w:rsidR="00C2601F" w:rsidRPr="00C2601F" w:rsidRDefault="00C2601F" w:rsidP="00C2601F">
      <w:pPr>
        <w:adjustRightInd w:val="0"/>
        <w:snapToGrid w:val="0"/>
        <w:spacing w:after="120" w:line="288" w:lineRule="auto"/>
        <w:ind w:firstLine="567"/>
        <w:jc w:val="both"/>
        <w:rPr>
          <w:b/>
        </w:rPr>
      </w:pPr>
      <w:r>
        <w:rPr>
          <w:rFonts w:ascii="Times New Roman" w:eastAsia="Times New Roman" w:hAnsi="Times New Roman" w:cs="Times New Roman"/>
          <w:sz w:val="28"/>
        </w:rPr>
        <w:t xml:space="preserve">                                               </w:t>
      </w:r>
      <w:r w:rsidR="001E61E9">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w:t>
      </w:r>
      <w:r w:rsidRPr="00C2601F">
        <w:rPr>
          <w:rFonts w:ascii="Times New Roman" w:eastAsia="Times New Roman" w:hAnsi="Times New Roman" w:cs="Times New Roman"/>
          <w:b/>
          <w:sz w:val="28"/>
        </w:rPr>
        <w:t>HỘI ĐỒNG PHPBGDPL XÃ</w:t>
      </w:r>
      <w:r>
        <w:rPr>
          <w:rFonts w:ascii="Times New Roman" w:eastAsia="Times New Roman" w:hAnsi="Times New Roman" w:cs="Times New Roman"/>
          <w:b/>
          <w:sz w:val="28"/>
        </w:rPr>
        <w:t xml:space="preserve"> </w:t>
      </w:r>
    </w:p>
    <w:p w:rsidR="00036B0A" w:rsidRDefault="001056BB"/>
    <w:sectPr w:rsidR="00036B0A" w:rsidSect="008465E0">
      <w:pgSz w:w="11907" w:h="16840" w:code="9"/>
      <w:pgMar w:top="1134" w:right="1134" w:bottom="28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01F"/>
    <w:rsid w:val="000C1D50"/>
    <w:rsid w:val="001056BB"/>
    <w:rsid w:val="001E61E9"/>
    <w:rsid w:val="004B3981"/>
    <w:rsid w:val="004D69D4"/>
    <w:rsid w:val="008465E0"/>
    <w:rsid w:val="00BC0C38"/>
    <w:rsid w:val="00C26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DB4E"/>
  <w15:chartTrackingRefBased/>
  <w15:docId w15:val="{3EADBCE0-F228-4956-9DE4-BC0CC831E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01F"/>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61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16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2026-10-02T07:07:00Z</dcterms:created>
  <dcterms:modified xsi:type="dcterms:W3CDTF">2026-10-02T07:08:00Z</dcterms:modified>
</cp:coreProperties>
</file>